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7E6" w:rsidRDefault="004067E6" w:rsidP="004067E6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Imagens, tabelas e quadros</w:t>
      </w:r>
    </w:p>
    <w:p w:rsidR="004067E6" w:rsidRPr="00165BCF" w:rsidRDefault="004067E6" w:rsidP="004067E6">
      <w:pPr>
        <w:spacing w:line="480" w:lineRule="auto"/>
        <w:rPr>
          <w:rFonts w:ascii="Arial" w:hAnsi="Arial"/>
        </w:rPr>
      </w:pPr>
      <w:r w:rsidRPr="00165BCF">
        <w:rPr>
          <w:rFonts w:ascii="Arial" w:hAnsi="Arial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7EC2D0D" wp14:editId="3A893C1E">
            <wp:simplePos x="0" y="0"/>
            <wp:positionH relativeFrom="column">
              <wp:posOffset>-43815</wp:posOffset>
            </wp:positionH>
            <wp:positionV relativeFrom="paragraph">
              <wp:posOffset>353060</wp:posOffset>
            </wp:positionV>
            <wp:extent cx="2774950" cy="2074545"/>
            <wp:effectExtent l="0" t="0" r="0" b="8255"/>
            <wp:wrapTight wrapText="bothSides">
              <wp:wrapPolygon edited="0">
                <wp:start x="0" y="0"/>
                <wp:lineTo x="0" y="21421"/>
                <wp:lineTo x="21353" y="21421"/>
                <wp:lineTo x="21353" y="0"/>
                <wp:lineTo x="0" y="0"/>
              </wp:wrapPolygon>
            </wp:wrapTight>
            <wp:docPr id="2" name="Picture 2" descr="OS X Yosemite:Users:mbreda:Desktop:intestinal 100x (H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 X Yosemite:Users:mbreda:Desktop:intestinal 100x (HE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BCF">
        <w:rPr>
          <w:rFonts w:ascii="Arial" w:hAnsi="Arial"/>
          <w:b/>
        </w:rPr>
        <w:t>Figura 1</w:t>
      </w:r>
      <w:r w:rsidRPr="00165BCF">
        <w:rPr>
          <w:rFonts w:ascii="Arial" w:hAnsi="Arial"/>
        </w:rPr>
        <w:t xml:space="preserve"> – Corte histológico (100x) – Adenocarcinoma tipo intestinal – proliferação de tecido tipo glandular. (Cortesia Dr.ª Ana Ferreira)</w:t>
      </w:r>
    </w:p>
    <w:p w:rsidR="004067E6" w:rsidRDefault="004067E6" w:rsidP="004067E6">
      <w:pPr>
        <w:spacing w:line="480" w:lineRule="auto"/>
      </w:pPr>
    </w:p>
    <w:p w:rsidR="004067E6" w:rsidRDefault="004067E6" w:rsidP="004067E6">
      <w:pPr>
        <w:spacing w:line="480" w:lineRule="auto"/>
      </w:pPr>
    </w:p>
    <w:p w:rsidR="004067E6" w:rsidRDefault="004067E6" w:rsidP="004067E6">
      <w:pPr>
        <w:spacing w:line="480" w:lineRule="auto"/>
      </w:pPr>
    </w:p>
    <w:p w:rsidR="004067E6" w:rsidRDefault="004067E6" w:rsidP="004067E6">
      <w:pPr>
        <w:spacing w:line="480" w:lineRule="auto"/>
      </w:pPr>
    </w:p>
    <w:p w:rsidR="004067E6" w:rsidRPr="00165BCF" w:rsidRDefault="004067E6" w:rsidP="004067E6">
      <w:pPr>
        <w:spacing w:line="480" w:lineRule="auto"/>
        <w:rPr>
          <w:rFonts w:ascii="Arial" w:hAnsi="Arial"/>
        </w:rPr>
      </w:pPr>
      <w:r w:rsidRPr="00165BCF">
        <w:rPr>
          <w:rFonts w:ascii="Arial" w:hAnsi="Arial"/>
          <w:b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DD4100F" wp14:editId="0B78DC08">
            <wp:simplePos x="0" y="0"/>
            <wp:positionH relativeFrom="column">
              <wp:posOffset>-40005</wp:posOffset>
            </wp:positionH>
            <wp:positionV relativeFrom="paragraph">
              <wp:posOffset>345440</wp:posOffset>
            </wp:positionV>
            <wp:extent cx="2679065" cy="2002155"/>
            <wp:effectExtent l="0" t="0" r="0" b="4445"/>
            <wp:wrapTight wrapText="bothSides">
              <wp:wrapPolygon edited="0">
                <wp:start x="0" y="0"/>
                <wp:lineTo x="0" y="21374"/>
                <wp:lineTo x="21298" y="21374"/>
                <wp:lineTo x="21298" y="0"/>
                <wp:lineTo x="0" y="0"/>
              </wp:wrapPolygon>
            </wp:wrapTight>
            <wp:docPr id="3" name="Picture 3" descr="OS X Yosemite:Users:mbreda:Desktop:adenocarcinoma 100x (H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 X Yosemite:Users:mbreda:Desktop:adenocarcinoma 100x (HE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BCF">
        <w:rPr>
          <w:rFonts w:ascii="Arial" w:hAnsi="Arial"/>
          <w:b/>
        </w:rPr>
        <w:t>Figura 2</w:t>
      </w:r>
      <w:r w:rsidRPr="00165BCF">
        <w:rPr>
          <w:rFonts w:ascii="Arial" w:hAnsi="Arial"/>
        </w:rPr>
        <w:t xml:space="preserve"> – Corte histológico (100x) – Adenocarcinoma tipo não-intestinal – morfologicamente mais heterógeno, com melhor prognóstico (Cortesia Dr.ª Ana Ferreira)</w:t>
      </w: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Default="004067E6" w:rsidP="004067E6">
      <w:pPr>
        <w:spacing w:line="480" w:lineRule="auto"/>
        <w:rPr>
          <w:rFonts w:ascii="Arial" w:hAnsi="Arial"/>
          <w:b/>
        </w:rPr>
      </w:pPr>
    </w:p>
    <w:p w:rsidR="004067E6" w:rsidRPr="00165BCF" w:rsidRDefault="004067E6" w:rsidP="004067E6">
      <w:pPr>
        <w:spacing w:line="480" w:lineRule="auto"/>
        <w:rPr>
          <w:rFonts w:ascii="Arial" w:hAnsi="Arial"/>
          <w:b/>
        </w:rPr>
      </w:pPr>
      <w:r w:rsidRPr="00165BCF">
        <w:rPr>
          <w:rFonts w:ascii="Arial" w:hAnsi="Arial"/>
          <w:b/>
        </w:rPr>
        <w:lastRenderedPageBreak/>
        <w:t>Tabela 1 – Caracterização da amostra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4067E6" w:rsidTr="008A37A5">
        <w:tc>
          <w:tcPr>
            <w:tcW w:w="4644" w:type="dxa"/>
            <w:shd w:val="clear" w:color="auto" w:fill="C2D69B" w:themeFill="accent3" w:themeFillTint="99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Amostra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n=14</w:t>
            </w:r>
          </w:p>
        </w:tc>
      </w:tr>
      <w:tr w:rsidR="004067E6" w:rsidTr="008A37A5">
        <w:tc>
          <w:tcPr>
            <w:tcW w:w="4644" w:type="dxa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Sexo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Masculino - 13 ; Feminino - 1</w:t>
            </w:r>
          </w:p>
        </w:tc>
      </w:tr>
      <w:tr w:rsidR="004067E6" w:rsidTr="008A37A5">
        <w:tc>
          <w:tcPr>
            <w:tcW w:w="4644" w:type="dxa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Idade (min-</w:t>
            </w:r>
            <w:proofErr w:type="spellStart"/>
            <w:r w:rsidRPr="00165BCF">
              <w:rPr>
                <w:rFonts w:ascii="Arial" w:hAnsi="Arial"/>
                <w:b/>
              </w:rPr>
              <w:t>máx</w:t>
            </w:r>
            <w:proofErr w:type="spellEnd"/>
            <w:r w:rsidRPr="00165BCF">
              <w:rPr>
                <w:rFonts w:ascii="Arial" w:hAnsi="Arial"/>
                <w:b/>
              </w:rPr>
              <w:t>| média)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51-94 anos | 60,5 anos</w:t>
            </w:r>
          </w:p>
        </w:tc>
      </w:tr>
      <w:tr w:rsidR="004067E6" w:rsidTr="008A37A5">
        <w:tc>
          <w:tcPr>
            <w:tcW w:w="4644" w:type="dxa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Profissionais do sector madeireiro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79% (n=11)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Tempo de exposição (min-</w:t>
            </w:r>
            <w:proofErr w:type="spellStart"/>
            <w:r w:rsidRPr="00165BCF">
              <w:rPr>
                <w:rFonts w:ascii="Arial" w:hAnsi="Arial"/>
              </w:rPr>
              <w:t>máx</w:t>
            </w:r>
            <w:proofErr w:type="spellEnd"/>
            <w:r w:rsidRPr="00165BCF">
              <w:rPr>
                <w:rFonts w:ascii="Arial" w:hAnsi="Arial"/>
              </w:rPr>
              <w:t xml:space="preserve">| média) 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6 – 57 anos | 32 anos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SPN afectado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proofErr w:type="spellStart"/>
            <w:r w:rsidRPr="00165BCF">
              <w:rPr>
                <w:rFonts w:ascii="Arial" w:hAnsi="Arial"/>
              </w:rPr>
              <w:t>Etmóide</w:t>
            </w:r>
            <w:proofErr w:type="spellEnd"/>
            <w:r w:rsidRPr="00165BCF">
              <w:rPr>
                <w:rFonts w:ascii="Arial" w:hAnsi="Arial"/>
              </w:rPr>
              <w:t xml:space="preserve"> 86% (n=12) | Maxilar 14% (n= 2)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Principal Queixa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Obstrução Nasal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48% (n=11)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proofErr w:type="spellStart"/>
            <w:r w:rsidRPr="00165BCF">
              <w:rPr>
                <w:rFonts w:ascii="Arial" w:hAnsi="Arial"/>
              </w:rPr>
              <w:t>Epistáxis</w:t>
            </w:r>
            <w:proofErr w:type="spellEnd"/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31% (n=7)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proofErr w:type="spellStart"/>
            <w:r w:rsidRPr="00165BCF">
              <w:rPr>
                <w:rFonts w:ascii="Arial" w:hAnsi="Arial"/>
              </w:rPr>
              <w:t>Rinorreia</w:t>
            </w:r>
            <w:proofErr w:type="spellEnd"/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17% (n=4)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proofErr w:type="spellStart"/>
            <w:r w:rsidRPr="00165BCF">
              <w:rPr>
                <w:rFonts w:ascii="Arial" w:hAnsi="Arial"/>
              </w:rPr>
              <w:t>Exofltalmia</w:t>
            </w:r>
            <w:proofErr w:type="spellEnd"/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4% (n=1)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Propostos para cirurgia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 xml:space="preserve">n=12 (1 </w:t>
            </w:r>
            <w:proofErr w:type="spellStart"/>
            <w:r w:rsidRPr="00165BCF">
              <w:rPr>
                <w:rFonts w:ascii="Arial" w:hAnsi="Arial"/>
                <w:b/>
              </w:rPr>
              <w:t>reintervenção</w:t>
            </w:r>
            <w:proofErr w:type="spellEnd"/>
            <w:r w:rsidRPr="00165BCF">
              <w:rPr>
                <w:rFonts w:ascii="Arial" w:hAnsi="Arial"/>
                <w:b/>
              </w:rPr>
              <w:t>)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proofErr w:type="spellStart"/>
            <w:r w:rsidRPr="00165BCF">
              <w:rPr>
                <w:rFonts w:ascii="Arial" w:hAnsi="Arial"/>
              </w:rPr>
              <w:t>Paralateronasal</w:t>
            </w:r>
            <w:proofErr w:type="spellEnd"/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5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CENS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6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Combinada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1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Radioterapia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n=13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Adjuvante | Paliativa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11 | 2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Recidiva pós operatória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165BCF">
              <w:rPr>
                <w:rFonts w:ascii="Arial" w:hAnsi="Arial"/>
                <w:b/>
              </w:rPr>
              <w:t>n=5</w:t>
            </w:r>
          </w:p>
        </w:tc>
      </w:tr>
      <w:tr w:rsidR="004067E6" w:rsidTr="008A37A5">
        <w:tc>
          <w:tcPr>
            <w:tcW w:w="4644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right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Tempo livre sem doença(média)</w:t>
            </w:r>
          </w:p>
        </w:tc>
        <w:tc>
          <w:tcPr>
            <w:tcW w:w="4678" w:type="dxa"/>
            <w:vAlign w:val="center"/>
          </w:tcPr>
          <w:p w:rsidR="004067E6" w:rsidRPr="00165BCF" w:rsidRDefault="004067E6" w:rsidP="008A37A5">
            <w:pPr>
              <w:spacing w:line="360" w:lineRule="auto"/>
              <w:jc w:val="center"/>
              <w:rPr>
                <w:rFonts w:ascii="Arial" w:hAnsi="Arial"/>
              </w:rPr>
            </w:pPr>
            <w:r w:rsidRPr="00165BCF">
              <w:rPr>
                <w:rFonts w:ascii="Arial" w:hAnsi="Arial"/>
              </w:rPr>
              <w:t>31 meses</w:t>
            </w:r>
          </w:p>
        </w:tc>
      </w:tr>
    </w:tbl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  <w:r w:rsidRPr="001D0B4B">
        <w:rPr>
          <w:b/>
          <w:noProof/>
          <w:lang w:val="en-US"/>
        </w:rPr>
        <w:drawing>
          <wp:inline distT="0" distB="0" distL="0" distR="0" wp14:anchorId="1F6E3471" wp14:editId="61DE882C">
            <wp:extent cx="3260785" cy="2855343"/>
            <wp:effectExtent l="0" t="0" r="15875" b="152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  <w:r w:rsidRPr="00603AEC">
        <w:rPr>
          <w:b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AC31BC3" wp14:editId="2A0D1275">
            <wp:simplePos x="0" y="0"/>
            <wp:positionH relativeFrom="column">
              <wp:posOffset>-635</wp:posOffset>
            </wp:positionH>
            <wp:positionV relativeFrom="paragraph">
              <wp:posOffset>5715</wp:posOffset>
            </wp:positionV>
            <wp:extent cx="4572000" cy="2933700"/>
            <wp:effectExtent l="0" t="0" r="25400" b="1270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  <w:r w:rsidRPr="00603AEC">
        <w:rPr>
          <w:b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3C5E3BE7" wp14:editId="062CE051">
            <wp:simplePos x="0" y="0"/>
            <wp:positionH relativeFrom="column">
              <wp:posOffset>22860</wp:posOffset>
            </wp:positionH>
            <wp:positionV relativeFrom="paragraph">
              <wp:posOffset>50800</wp:posOffset>
            </wp:positionV>
            <wp:extent cx="4572000" cy="2743200"/>
            <wp:effectExtent l="0" t="0" r="25400" b="2540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  <w:r>
        <w:rPr>
          <w:b/>
        </w:rPr>
        <w:t xml:space="preserve">Gráfico 4 – </w:t>
      </w:r>
      <w:proofErr w:type="spellStart"/>
      <w:r>
        <w:rPr>
          <w:b/>
        </w:rPr>
        <w:t>Kaplan-Meier</w:t>
      </w:r>
      <w:proofErr w:type="spellEnd"/>
      <w:r>
        <w:rPr>
          <w:b/>
        </w:rPr>
        <w:t xml:space="preserve"> - Sobrevida livre-de-doença </w:t>
      </w:r>
      <w:r w:rsidRPr="001F71C8">
        <w:rPr>
          <w:b/>
          <w:noProof/>
          <w:lang w:val="en-US"/>
        </w:rPr>
        <w:drawing>
          <wp:inline distT="0" distB="0" distL="0" distR="0" wp14:anchorId="108F6ADF" wp14:editId="6903AA27">
            <wp:extent cx="5270500" cy="4325620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7E6" w:rsidRDefault="004067E6" w:rsidP="004067E6">
      <w:pPr>
        <w:spacing w:line="480" w:lineRule="auto"/>
        <w:rPr>
          <w:b/>
        </w:rPr>
      </w:pPr>
    </w:p>
    <w:p w:rsidR="004067E6" w:rsidRDefault="004067E6" w:rsidP="004067E6">
      <w:pPr>
        <w:spacing w:line="480" w:lineRule="auto"/>
        <w:rPr>
          <w:b/>
        </w:rPr>
      </w:pPr>
      <w:r w:rsidRPr="001F71C8">
        <w:rPr>
          <w:b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2FC0CFF" wp14:editId="2A8B76AB">
            <wp:simplePos x="0" y="0"/>
            <wp:positionH relativeFrom="column">
              <wp:posOffset>19685</wp:posOffset>
            </wp:positionH>
            <wp:positionV relativeFrom="paragraph">
              <wp:posOffset>252730</wp:posOffset>
            </wp:positionV>
            <wp:extent cx="5270500" cy="4325620"/>
            <wp:effectExtent l="0" t="0" r="0" b="0"/>
            <wp:wrapTight wrapText="bothSides">
              <wp:wrapPolygon edited="0">
                <wp:start x="0" y="0"/>
                <wp:lineTo x="0" y="20801"/>
                <wp:lineTo x="21340" y="20801"/>
                <wp:lineTo x="2134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Gráfico 5 – </w:t>
      </w:r>
      <w:proofErr w:type="spellStart"/>
      <w:r>
        <w:rPr>
          <w:b/>
        </w:rPr>
        <w:t>Kaplan-Meier</w:t>
      </w:r>
      <w:proofErr w:type="spellEnd"/>
      <w:r>
        <w:rPr>
          <w:b/>
        </w:rPr>
        <w:t xml:space="preserve"> - Sobrevida global</w:t>
      </w:r>
      <w:bookmarkStart w:id="0" w:name="_GoBack"/>
      <w:bookmarkEnd w:id="0"/>
    </w:p>
    <w:p w:rsidR="00B86C99" w:rsidRDefault="00B86C99"/>
    <w:sectPr w:rsidR="00B86C99" w:rsidSect="00AC56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E6"/>
    <w:rsid w:val="004067E6"/>
    <w:rsid w:val="00AC569F"/>
    <w:rsid w:val="00B8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EC24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7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E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7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E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chart" Target="charts/chart1.xml"/><Relationship Id="rId8" Type="http://schemas.openxmlformats.org/officeDocument/2006/relationships/chart" Target="charts/chart2.xml"/><Relationship Id="rId9" Type="http://schemas.openxmlformats.org/officeDocument/2006/relationships/chart" Target="charts/chart3.xml"/><Relationship Id="rId10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OS%20X%20Yosemite:Users:mbreda:Google%20Drive:Trabalhos:Adeno%20-casuistica:Base%20de%20dados%20Adenocarcinom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OS%20X%20Yosemite:Users:mbreda:Google%20Drive:Trabalhos:Adeno%20-casuistica:Base%20de%20dados%20Adenocarcinom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OS%20X%20Yosemite:Users:mbreda:Google%20Drive:Trabalhos:Adeno%20-casuistica:Base%20de%20dados%20Adenocarcinom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Gráfico 1 - Estadiamento TMN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Sheet2!$F$42:$F$47</c:f>
              <c:strCache>
                <c:ptCount val="6"/>
                <c:pt idx="0">
                  <c:v>T1N0M0</c:v>
                </c:pt>
                <c:pt idx="1">
                  <c:v>T2N0M0</c:v>
                </c:pt>
                <c:pt idx="2">
                  <c:v>T3N0M0</c:v>
                </c:pt>
                <c:pt idx="3">
                  <c:v>T3N1M0</c:v>
                </c:pt>
                <c:pt idx="4">
                  <c:v>T4aN0M0</c:v>
                </c:pt>
                <c:pt idx="5">
                  <c:v>T4bN0M0</c:v>
                </c:pt>
              </c:strCache>
            </c:strRef>
          </c:cat>
          <c:val>
            <c:numRef>
              <c:f>Sheet2!$G$42:$G$47</c:f>
              <c:numCache>
                <c:formatCode>General</c:formatCode>
                <c:ptCount val="6"/>
                <c:pt idx="0">
                  <c:v>1.0</c:v>
                </c:pt>
                <c:pt idx="1">
                  <c:v>2.0</c:v>
                </c:pt>
                <c:pt idx="2">
                  <c:v>4.0</c:v>
                </c:pt>
                <c:pt idx="3">
                  <c:v>1.0</c:v>
                </c:pt>
                <c:pt idx="4">
                  <c:v>4.0</c:v>
                </c:pt>
                <c:pt idx="5">
                  <c:v>2.0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Gráfico 2 - Via cirúrgica (cumulativo)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Sheet2!$G$79</c:f>
              <c:strCache>
                <c:ptCount val="1"/>
                <c:pt idx="0">
                  <c:v>CENS</c:v>
                </c:pt>
              </c:strCache>
            </c:strRef>
          </c:tx>
          <c:marker>
            <c:symbol val="none"/>
          </c:marker>
          <c:cat>
            <c:numRef>
              <c:f>Sheet2!$F$80:$F$87</c:f>
              <c:numCache>
                <c:formatCode>General</c:formatCode>
                <c:ptCount val="8"/>
                <c:pt idx="0">
                  <c:v>2002.0</c:v>
                </c:pt>
                <c:pt idx="1">
                  <c:v>2007.0</c:v>
                </c:pt>
                <c:pt idx="2">
                  <c:v>2008.0</c:v>
                </c:pt>
                <c:pt idx="3">
                  <c:v>2009.0</c:v>
                </c:pt>
                <c:pt idx="4">
                  <c:v>2010.0</c:v>
                </c:pt>
                <c:pt idx="5">
                  <c:v>2012.0</c:v>
                </c:pt>
                <c:pt idx="6">
                  <c:v>2013.0</c:v>
                </c:pt>
                <c:pt idx="7">
                  <c:v>2014.0</c:v>
                </c:pt>
              </c:numCache>
            </c:numRef>
          </c:cat>
          <c:val>
            <c:numRef>
              <c:f>Sheet2!$G$80:$G$87</c:f>
              <c:numCache>
                <c:formatCode>General</c:formatCode>
                <c:ptCount val="8"/>
                <c:pt idx="0">
                  <c:v>0.0</c:v>
                </c:pt>
                <c:pt idx="1">
                  <c:v>1.0</c:v>
                </c:pt>
                <c:pt idx="2">
                  <c:v>1.0</c:v>
                </c:pt>
                <c:pt idx="3">
                  <c:v>1.0</c:v>
                </c:pt>
                <c:pt idx="4">
                  <c:v>2.0</c:v>
                </c:pt>
                <c:pt idx="5">
                  <c:v>3.0</c:v>
                </c:pt>
                <c:pt idx="6">
                  <c:v>5.0</c:v>
                </c:pt>
                <c:pt idx="7">
                  <c:v>6.0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Sheet2!$H$79</c:f>
              <c:strCache>
                <c:ptCount val="1"/>
                <c:pt idx="0">
                  <c:v>Externa</c:v>
                </c:pt>
              </c:strCache>
            </c:strRef>
          </c:tx>
          <c:marker>
            <c:symbol val="none"/>
          </c:marker>
          <c:cat>
            <c:numRef>
              <c:f>Sheet2!$F$80:$F$87</c:f>
              <c:numCache>
                <c:formatCode>General</c:formatCode>
                <c:ptCount val="8"/>
                <c:pt idx="0">
                  <c:v>2002.0</c:v>
                </c:pt>
                <c:pt idx="1">
                  <c:v>2007.0</c:v>
                </c:pt>
                <c:pt idx="2">
                  <c:v>2008.0</c:v>
                </c:pt>
                <c:pt idx="3">
                  <c:v>2009.0</c:v>
                </c:pt>
                <c:pt idx="4">
                  <c:v>2010.0</c:v>
                </c:pt>
                <c:pt idx="5">
                  <c:v>2012.0</c:v>
                </c:pt>
                <c:pt idx="6">
                  <c:v>2013.0</c:v>
                </c:pt>
                <c:pt idx="7">
                  <c:v>2014.0</c:v>
                </c:pt>
              </c:numCache>
            </c:numRef>
          </c:cat>
          <c:val>
            <c:numRef>
              <c:f>Sheet2!$H$80:$H$87</c:f>
              <c:numCache>
                <c:formatCode>General</c:formatCode>
                <c:ptCount val="8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4.0</c:v>
                </c:pt>
                <c:pt idx="5">
                  <c:v>4.0</c:v>
                </c:pt>
                <c:pt idx="6">
                  <c:v>4.0</c:v>
                </c:pt>
                <c:pt idx="7">
                  <c:v>5.0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Sheet2!$I$79</c:f>
              <c:strCache>
                <c:ptCount val="1"/>
                <c:pt idx="0">
                  <c:v>Combinada</c:v>
                </c:pt>
              </c:strCache>
            </c:strRef>
          </c:tx>
          <c:marker>
            <c:symbol val="none"/>
          </c:marker>
          <c:cat>
            <c:numRef>
              <c:f>Sheet2!$F$80:$F$87</c:f>
              <c:numCache>
                <c:formatCode>General</c:formatCode>
                <c:ptCount val="8"/>
                <c:pt idx="0">
                  <c:v>2002.0</c:v>
                </c:pt>
                <c:pt idx="1">
                  <c:v>2007.0</c:v>
                </c:pt>
                <c:pt idx="2">
                  <c:v>2008.0</c:v>
                </c:pt>
                <c:pt idx="3">
                  <c:v>2009.0</c:v>
                </c:pt>
                <c:pt idx="4">
                  <c:v>2010.0</c:v>
                </c:pt>
                <c:pt idx="5">
                  <c:v>2012.0</c:v>
                </c:pt>
                <c:pt idx="6">
                  <c:v>2013.0</c:v>
                </c:pt>
                <c:pt idx="7">
                  <c:v>2014.0</c:v>
                </c:pt>
              </c:numCache>
            </c:numRef>
          </c:cat>
          <c:val>
            <c:numRef>
              <c:f>Sheet2!$I$80:$I$87</c:f>
              <c:numCache>
                <c:formatCode>General</c:formatCode>
                <c:ptCount val="8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1.0</c:v>
                </c:pt>
                <c:pt idx="6">
                  <c:v>1.0</c:v>
                </c:pt>
                <c:pt idx="7">
                  <c:v>1.0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91651400"/>
        <c:axId val="-2091765000"/>
      </c:lineChart>
      <c:catAx>
        <c:axId val="-2091651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-2091765000"/>
        <c:crosses val="autoZero"/>
        <c:auto val="1"/>
        <c:lblAlgn val="ctr"/>
        <c:lblOffset val="100"/>
        <c:noMultiLvlLbl val="0"/>
      </c:catAx>
      <c:valAx>
        <c:axId val="-20917650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2091651400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 rtl="0">
            <a:defRPr/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Gráfico 3  - Via cirúrgica/Estadiamento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Sheet2!$G$95</c:f>
              <c:strCache>
                <c:ptCount val="1"/>
                <c:pt idx="0">
                  <c:v>Externa</c:v>
                </c:pt>
              </c:strCache>
            </c:strRef>
          </c:tx>
          <c:invertIfNegative val="0"/>
          <c:cat>
            <c:strRef>
              <c:f>Sheet2!$F$96:$F$100</c:f>
              <c:strCache>
                <c:ptCount val="5"/>
                <c:pt idx="0">
                  <c:v>T1N0M0</c:v>
                </c:pt>
                <c:pt idx="1">
                  <c:v>T2N0M0</c:v>
                </c:pt>
                <c:pt idx="2">
                  <c:v>T3N0M0</c:v>
                </c:pt>
                <c:pt idx="3">
                  <c:v>T3N1M0</c:v>
                </c:pt>
                <c:pt idx="4">
                  <c:v>T4aN0M0</c:v>
                </c:pt>
              </c:strCache>
            </c:strRef>
          </c:cat>
          <c:val>
            <c:numRef>
              <c:f>Sheet2!$G$96:$G$100</c:f>
              <c:numCache>
                <c:formatCode>General</c:formatCode>
                <c:ptCount val="5"/>
                <c:pt idx="0">
                  <c:v>1.0</c:v>
                </c:pt>
                <c:pt idx="1">
                  <c:v>0.0</c:v>
                </c:pt>
                <c:pt idx="2">
                  <c:v>1.0</c:v>
                </c:pt>
                <c:pt idx="3">
                  <c:v>1.0</c:v>
                </c:pt>
                <c:pt idx="4">
                  <c:v>2.0</c:v>
                </c:pt>
              </c:numCache>
            </c:numRef>
          </c:val>
        </c:ser>
        <c:ser>
          <c:idx val="1"/>
          <c:order val="1"/>
          <c:tx>
            <c:strRef>
              <c:f>Sheet2!$H$95</c:f>
              <c:strCache>
                <c:ptCount val="1"/>
                <c:pt idx="0">
                  <c:v>CENS</c:v>
                </c:pt>
              </c:strCache>
            </c:strRef>
          </c:tx>
          <c:invertIfNegative val="0"/>
          <c:cat>
            <c:strRef>
              <c:f>Sheet2!$F$96:$F$100</c:f>
              <c:strCache>
                <c:ptCount val="5"/>
                <c:pt idx="0">
                  <c:v>T1N0M0</c:v>
                </c:pt>
                <c:pt idx="1">
                  <c:v>T2N0M0</c:v>
                </c:pt>
                <c:pt idx="2">
                  <c:v>T3N0M0</c:v>
                </c:pt>
                <c:pt idx="3">
                  <c:v>T3N1M0</c:v>
                </c:pt>
                <c:pt idx="4">
                  <c:v>T4aN0M0</c:v>
                </c:pt>
              </c:strCache>
            </c:strRef>
          </c:cat>
          <c:val>
            <c:numRef>
              <c:f>Sheet2!$H$96:$H$100</c:f>
              <c:numCache>
                <c:formatCode>General</c:formatCode>
                <c:ptCount val="5"/>
                <c:pt idx="0">
                  <c:v>1.0</c:v>
                </c:pt>
                <c:pt idx="1">
                  <c:v>2.0</c:v>
                </c:pt>
                <c:pt idx="2">
                  <c:v>2.0</c:v>
                </c:pt>
                <c:pt idx="3">
                  <c:v>0.0</c:v>
                </c:pt>
                <c:pt idx="4">
                  <c:v>1.0</c:v>
                </c:pt>
              </c:numCache>
            </c:numRef>
          </c:val>
        </c:ser>
        <c:ser>
          <c:idx val="2"/>
          <c:order val="2"/>
          <c:tx>
            <c:strRef>
              <c:f>Sheet2!$I$95</c:f>
              <c:strCache>
                <c:ptCount val="1"/>
                <c:pt idx="0">
                  <c:v>Combinada</c:v>
                </c:pt>
              </c:strCache>
            </c:strRef>
          </c:tx>
          <c:invertIfNegative val="0"/>
          <c:cat>
            <c:strRef>
              <c:f>Sheet2!$F$96:$F$100</c:f>
              <c:strCache>
                <c:ptCount val="5"/>
                <c:pt idx="0">
                  <c:v>T1N0M0</c:v>
                </c:pt>
                <c:pt idx="1">
                  <c:v>T2N0M0</c:v>
                </c:pt>
                <c:pt idx="2">
                  <c:v>T3N0M0</c:v>
                </c:pt>
                <c:pt idx="3">
                  <c:v>T3N1M0</c:v>
                </c:pt>
                <c:pt idx="4">
                  <c:v>T4aN0M0</c:v>
                </c:pt>
              </c:strCache>
            </c:strRef>
          </c:cat>
          <c:val>
            <c:numRef>
              <c:f>Sheet2!$I$96:$I$100</c:f>
              <c:numCache>
                <c:formatCode>General</c:formatCode>
                <c:ptCount val="5"/>
                <c:pt idx="0">
                  <c:v>0.0</c:v>
                </c:pt>
                <c:pt idx="1">
                  <c:v>0.0</c:v>
                </c:pt>
                <c:pt idx="2">
                  <c:v>1.0</c:v>
                </c:pt>
                <c:pt idx="3">
                  <c:v>0.0</c:v>
                </c:pt>
                <c:pt idx="4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2698152"/>
        <c:axId val="-2103045560"/>
      </c:barChart>
      <c:catAx>
        <c:axId val="-2102698152"/>
        <c:scaling>
          <c:orientation val="minMax"/>
        </c:scaling>
        <c:delete val="0"/>
        <c:axPos val="b"/>
        <c:majorTickMark val="none"/>
        <c:minorTickMark val="none"/>
        <c:tickLblPos val="nextTo"/>
        <c:crossAx val="-2103045560"/>
        <c:crossesAt val="0.0"/>
        <c:auto val="1"/>
        <c:lblAlgn val="ctr"/>
        <c:lblOffset val="100"/>
        <c:noMultiLvlLbl val="0"/>
      </c:catAx>
      <c:valAx>
        <c:axId val="-2103045560"/>
        <c:scaling>
          <c:orientation val="minMax"/>
          <c:max val="2.0"/>
          <c:min val="0.0"/>
        </c:scaling>
        <c:delete val="0"/>
        <c:axPos val="l"/>
        <c:majorGridlines/>
        <c:numFmt formatCode="#,##0" sourceLinked="0"/>
        <c:majorTickMark val="none"/>
        <c:minorTickMark val="none"/>
        <c:tickLblPos val="nextTo"/>
        <c:crossAx val="-2102698152"/>
        <c:crosses val="autoZero"/>
        <c:crossBetween val="between"/>
        <c:majorUnit val="1.0"/>
        <c:minorUnit val="0.1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161</Words>
  <Characters>919</Characters>
  <Application>Microsoft Macintosh Word</Application>
  <DocSecurity>0</DocSecurity>
  <Lines>7</Lines>
  <Paragraphs>2</Paragraphs>
  <ScaleCrop>false</ScaleCrop>
  <Company>.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1</cp:revision>
  <dcterms:created xsi:type="dcterms:W3CDTF">2015-04-19T20:48:00Z</dcterms:created>
  <dcterms:modified xsi:type="dcterms:W3CDTF">2015-04-19T20:57:00Z</dcterms:modified>
</cp:coreProperties>
</file>